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34" w:rsidRPr="00053934" w:rsidRDefault="00053934" w:rsidP="000539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3934">
        <w:rPr>
          <w:rFonts w:ascii="Arial" w:hAnsi="Arial" w:cs="Arial"/>
          <w:b/>
          <w:sz w:val="24"/>
          <w:szCs w:val="24"/>
          <w:u w:val="single"/>
        </w:rPr>
        <w:t>Zákon č. 111/2006 Sb., o pomoci v hmotné nouzi</w:t>
      </w:r>
    </w:p>
    <w:p w:rsidR="00053934" w:rsidRPr="00053934" w:rsidRDefault="00053934" w:rsidP="000539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3934">
        <w:rPr>
          <w:rFonts w:ascii="Arial" w:hAnsi="Arial" w:cs="Arial"/>
          <w:b/>
          <w:sz w:val="24"/>
          <w:szCs w:val="24"/>
          <w:u w:val="single"/>
        </w:rPr>
        <w:t xml:space="preserve">(aktuální znění k 1. </w:t>
      </w:r>
      <w:r w:rsidR="00EC4FB0">
        <w:rPr>
          <w:rFonts w:ascii="Arial" w:hAnsi="Arial" w:cs="Arial"/>
          <w:b/>
          <w:sz w:val="24"/>
          <w:szCs w:val="24"/>
          <w:u w:val="single"/>
        </w:rPr>
        <w:t>7</w:t>
      </w:r>
      <w:r w:rsidRPr="00053934">
        <w:rPr>
          <w:rFonts w:ascii="Arial" w:hAnsi="Arial" w:cs="Arial"/>
          <w:b/>
          <w:sz w:val="24"/>
          <w:szCs w:val="24"/>
          <w:u w:val="single"/>
        </w:rPr>
        <w:t>. 2017)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934" w:rsidRDefault="00053934" w:rsidP="000539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§ 7</w:t>
      </w:r>
    </w:p>
    <w:p w:rsidR="001A0E5F" w:rsidRPr="00053934" w:rsidRDefault="001A0E5F" w:rsidP="000539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Pověřené obecní úřady, obecní úřady obcí s rozšířenou působností a újezdní úřady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5C0D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V oblasti pomoci v hmotné nouzi plní některé úkoly rovněž pověřené obecní úřady, obecní úřady obcí s rozšířenou působností a újezdní úřady. Výkon působnosti stanovené pověřeným obecním úřadům a obecním úřadům obcí s rozšířenou působností je výkonem přenesené působnosti.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Povinnosti a oprávnění orgánů pomoci v hmotné nouzi, pověřených obecních úřadů, obecních úřadů obcí s rozšířenou působností a újezdních úřadů a jejich zaměstnanců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934" w:rsidRDefault="00053934" w:rsidP="001A0E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§ 63</w:t>
      </w:r>
    </w:p>
    <w:p w:rsidR="001A0E5F" w:rsidRPr="00053934" w:rsidRDefault="001A0E5F" w:rsidP="001A0E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(1) Zaměstnanci orgánů pomoci v hmotné nouzi jsou na základě souhlasu žadatele o dávku, příjemce dávky a osob společně posuzovaných oprávněni v souvislosti s plněním úkolů podle tohoto zákona vstupovat do obydlí, v němž tyto osoby žijí, a to s cílem provádět sociální šetření, popřípadě šetření v místě pro vyhodnocení podmínek nároku na dávky. Oprávnění k této činnosti jsou povinni prokázat služebním průkazem společně se zvláštním oprávněním vydaným příslušným orgánem pomoci v hmotné nouzi jako doložkou služebního průkazu. Toto zvláštní oprávnění obsahuje označení účelu vydání, číslo služebního průkazu, jméno, popřípadě jména, a příjmení zaměstnance a identifikační údaje vydávajícího orgánu pomoci v hmotné nouzi. O sociálním šetření, popřípadě o šetření v místě pro vyhodnocení podmínek nároku na dávky podle věty první se vždy učiní záznam ve spise.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(2) Pokud žadatel o dávku, příjemce dávky nebo osoba společně posuzovaná tím, že nedají souhlas se vstupem do obydlí, znemožní provedení sociálního šetření, popřípadě šetření v místě, k ověření skutečností rozhodných pro nárok na dávku nebo její výši, může jim být žádost o dávku zamítnuta nebo dávka odejmuta, popřípadě snížena její výše.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(3) Zaměstnanci obcí zařazení do pověřených obecních úřadů nebo obecních úřadů obcí s rozšířenou působností jako sociální pracovníci69) a zaměstnanci státu zařazení k výkonu práce v újezdních úřadech jako sociální pracovníci69) jsou na základě souhlasu osoby v hmotné nouzi a osob společně posuzovaných oprávněni v souvislosti s plněním úkolů podle tohoto zákona vstupovat do obydlí, v němž tyto osoby žijí, a to s cílem vykonávat činnosti sociální práce. Oprávnění k této činnosti jsou povinni prokázat průkazem vydaným příslušným úřadem; náležitosti průkazu stanoví prováděcí právní předpis.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1A0E5F" w:rsidRDefault="001A0E5F" w:rsidP="000539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Default="00053934" w:rsidP="000539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lastRenderedPageBreak/>
        <w:t>§ 64</w:t>
      </w:r>
    </w:p>
    <w:p w:rsidR="001A0E5F" w:rsidRPr="00053934" w:rsidRDefault="001A0E5F" w:rsidP="000539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(1) Zaměstnanci orgánů pomoci v hmotné nouzi jsou v souvislosti s poskytováním dávek povinni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a) chránit práva a zájmy osob v hmotné nouzi, přitom respektovat jejich důstojnost, soukromí a důvěrnost sdělení a zachovávat mlčenlivost, nestanoví-li tento zákon nebo zvláštní právní předpis jinak,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b) informovat každou osobu o možných postupech řešení hmotné nouze a zapojovat ji do řešení její situace a vést ji k vlastní odpovědnosti,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c) respektovat jedinečnost každé osoby bez ohledu na její původ, etnickou příslušnost, rasu či barvu pleti, mateřský jazyk, ekonomickou situaci, věk, zdravotní stav, sexuální orientaci, náboženské a politické přesvědčení, a to bez ohledu na skutečnost, jak se tato osoba podílí na životě společnosti,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d) vyhledávat aktivně osoby, které jsou ohroženy hmotnou nouzí, nebo se již ve stavu hmotné nouze nacházejí,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e) spolupracovat s obcí, v jejíž působnosti se bydliště osoby v hmotné nouzi nachází.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(2) Zaměstnanci orgánů pomoci v hmotné nouzi, kteří jsou zařazeni jako sociální pracovníci69), jsou dále povinni v souvislosti s posuzováním stavu hmotné nouze příjemců příspěvku na živobytí a společně posuzovaných osob, které se nacházejí ve stavu hmotné nouze déle než tři kalendářní měsíce, s výjimkou nezaopatřených dětí,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a) shromažďovat a analyzovat údaje o osobách v hmotné nouzi, potřebné pro posouzení jejich situace,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b) dohodnout ve spolupráci s osobami v hmotné nouzi postup řešení jejich situace hmotné nouze,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c) používat při řešení situace hmotné nouze osoby metody a postupy, které jsou vhodné pro tyto osoby,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d) vést nezbytnou dokumentaci o metodách a postupech řešení situace hmotné nouze osob včetně zhodnocení při ukončení spolupráce s osobami v hmotné nouzi,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e) spolupracovat s dalšími zaměstnanci orgánu pomoci v hmotné nouzi při řešení situace osob v hmotné nouzi a umožňovat kontrolu použitých metod a postupů,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f) spolupracovat při řešení situace hmotné nouze osob s provozovateli sociálních služeb, s poradenskými zařízeními a organizacemi, které osobám v hmotné nouzi v obci pomáhají.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lastRenderedPageBreak/>
        <w:tab/>
        <w:t>(3) Povinnosti stanovené v odstavcích 1 a 2 platí obdobně pro zaměstnance obcí, kteří jsou zařazeni do pověřených obecních úřadů a obecních úřadů obcí s rozšířenou působností jako sociální pracovníci69), a zaměstnance státu, kteří jsou zařazeni k výkonu práce v újezdních úřadech jako sociální pracovníci69), při řešení situace osob v hmotné nouzi, a to bez ohledu na dobu, po kterou se tyto osoby ve stavu hmotné nouze nacházejí; přitom tito zaměstnanci spolupracují s příslušnou krajskou pobočkou Úřadu práce. Tito zaměstnanci jsou dále povinni v souvislosti s výkonem činností sociální práce vést Standardizovaný záznam sociálního pracovníka, který je součástí Jednotného informačního systému práce a sociálních věcí.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Default="00053934" w:rsidP="000539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§ 65</w:t>
      </w:r>
    </w:p>
    <w:p w:rsidR="001A0E5F" w:rsidRPr="00053934" w:rsidRDefault="001A0E5F" w:rsidP="000539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Orgány pomoci v hmotné nouzi, pověřené obecní úřady, obecní úřady obcí s rozšířenou působností a újezdní úřady jsou povinny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a) zabezpečit, aby jejich zaměstnanci při řešení hmotné nouze osoby dodržovali povinnosti uvedené v § 64,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b) bezplatně si vzájemně poskytovat informace potřebné k rozhodování ve věci hmotné nouze,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>c) využívat pro řešení hmotné nouze informační systém pomoci v hmotné nouzi.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Default="00EC4FB0" w:rsidP="00EC4F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65a</w:t>
      </w:r>
    </w:p>
    <w:p w:rsidR="001A0E5F" w:rsidRPr="00053934" w:rsidRDefault="001A0E5F" w:rsidP="00EC4F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ab/>
        <w:t>Na zajištění činností sociální práce, které jsou vykonávány v souvislosti s povinnostmi uvedenými v § 63 a 64, se pověřeným obcím a obcím s rozšířenou působností poskytuje příspěvek formou účelové dotace. Dotaci poskytuje ministerstvo podle zvláštního právního předpisu77). Dotace ze státního rozpočtu je pověřeným obcím a obcím s rozšířenou působností poskytována prostřednictvím rozpočtu kraje; tato činnost krajů je činností vykonávanou v přenesené působnosti.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 </w:t>
      </w:r>
    </w:p>
    <w:p w:rsidR="00053934" w:rsidRPr="00053934" w:rsidRDefault="00053934" w:rsidP="00053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934">
        <w:rPr>
          <w:rFonts w:ascii="Arial" w:hAnsi="Arial" w:cs="Arial"/>
          <w:sz w:val="24"/>
          <w:szCs w:val="24"/>
        </w:rPr>
        <w:t xml:space="preserve">____________________ </w:t>
      </w:r>
    </w:p>
    <w:p w:rsidR="00053934" w:rsidRPr="00EC4FB0" w:rsidRDefault="00053934" w:rsidP="000539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FB0">
        <w:rPr>
          <w:rFonts w:ascii="Arial" w:hAnsi="Arial" w:cs="Arial"/>
          <w:sz w:val="20"/>
          <w:szCs w:val="20"/>
        </w:rPr>
        <w:t>69) § 109 a násl. zákona č. 108/2006 Sb., ve znění pozdějších předpisů.</w:t>
      </w:r>
    </w:p>
    <w:p w:rsidR="00053934" w:rsidRPr="00EC4FB0" w:rsidRDefault="00053934" w:rsidP="000539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FB0">
        <w:rPr>
          <w:rFonts w:ascii="Arial" w:hAnsi="Arial" w:cs="Arial"/>
          <w:sz w:val="20"/>
          <w:szCs w:val="20"/>
        </w:rPr>
        <w:t>77) Zákon č. 218/2000 Sb., o rozpočtových pravidlech a o změně některých souvisejících zákonů (rozpočtová pravidla), ve znění pozdějších předpis</w:t>
      </w:r>
      <w:bookmarkStart w:id="0" w:name="_GoBack"/>
      <w:bookmarkEnd w:id="0"/>
      <w:r w:rsidRPr="00EC4FB0">
        <w:rPr>
          <w:rFonts w:ascii="Arial" w:hAnsi="Arial" w:cs="Arial"/>
          <w:sz w:val="20"/>
          <w:szCs w:val="20"/>
        </w:rPr>
        <w:t>ů.</w:t>
      </w:r>
    </w:p>
    <w:sectPr w:rsidR="00053934" w:rsidRPr="00EC4F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60" w:rsidRDefault="00FF5060" w:rsidP="00EC4FB0">
      <w:pPr>
        <w:spacing w:after="0" w:line="240" w:lineRule="auto"/>
      </w:pPr>
      <w:r>
        <w:separator/>
      </w:r>
    </w:p>
  </w:endnote>
  <w:endnote w:type="continuationSeparator" w:id="0">
    <w:p w:rsidR="00FF5060" w:rsidRDefault="00FF5060" w:rsidP="00E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273862"/>
      <w:docPartObj>
        <w:docPartGallery w:val="Page Numbers (Bottom of Page)"/>
        <w:docPartUnique/>
      </w:docPartObj>
    </w:sdtPr>
    <w:sdtContent>
      <w:p w:rsidR="00EC4FB0" w:rsidRDefault="00EC4F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5F">
          <w:rPr>
            <w:noProof/>
          </w:rPr>
          <w:t>2</w:t>
        </w:r>
        <w:r>
          <w:fldChar w:fldCharType="end"/>
        </w:r>
      </w:p>
    </w:sdtContent>
  </w:sdt>
  <w:p w:rsidR="00EC4FB0" w:rsidRDefault="00EC4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60" w:rsidRDefault="00FF5060" w:rsidP="00EC4FB0">
      <w:pPr>
        <w:spacing w:after="0" w:line="240" w:lineRule="auto"/>
      </w:pPr>
      <w:r>
        <w:separator/>
      </w:r>
    </w:p>
  </w:footnote>
  <w:footnote w:type="continuationSeparator" w:id="0">
    <w:p w:rsidR="00FF5060" w:rsidRDefault="00FF5060" w:rsidP="00EC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34"/>
    <w:rsid w:val="00053934"/>
    <w:rsid w:val="001A0E5F"/>
    <w:rsid w:val="009077AE"/>
    <w:rsid w:val="00B85C0D"/>
    <w:rsid w:val="00EC4FB0"/>
    <w:rsid w:val="00F1449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0EB"/>
  <w15:chartTrackingRefBased/>
  <w15:docId w15:val="{8C43F241-0D92-4F70-A41F-5A4672E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FB0"/>
  </w:style>
  <w:style w:type="paragraph" w:styleId="Zpat">
    <w:name w:val="footer"/>
    <w:basedOn w:val="Normln"/>
    <w:link w:val="ZpatChar"/>
    <w:uiPriority w:val="99"/>
    <w:unhideWhenUsed/>
    <w:rsid w:val="00EC4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Schafferová Ladislava</dc:creator>
  <cp:keywords/>
  <dc:description/>
  <cp:lastModifiedBy>Schafferová Ladislava</cp:lastModifiedBy>
  <cp:revision>2</cp:revision>
  <dcterms:created xsi:type="dcterms:W3CDTF">2017-10-30T08:28:00Z</dcterms:created>
  <dcterms:modified xsi:type="dcterms:W3CDTF">2017-10-30T08:48:00Z</dcterms:modified>
</cp:coreProperties>
</file>